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F9" w:rsidRPr="00F01AF9" w:rsidRDefault="00F01AF9" w:rsidP="00F01AF9">
      <w:pPr>
        <w:shd w:val="clear" w:color="auto" w:fill="FFFFFF"/>
        <w:spacing w:before="343" w:after="0" w:line="247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F01AF9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Соглашение между Правительством </w:t>
      </w:r>
      <w:proofErr w:type="spellStart"/>
      <w:r w:rsidRPr="00F01AF9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Кыргызской</w:t>
      </w:r>
      <w:proofErr w:type="spellEnd"/>
      <w:r w:rsidRPr="00F01AF9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 Республики и Правительством Республики Казахстан об использовании водохозяйственных сооружений межгосударственного пользования на </w:t>
      </w:r>
      <w:proofErr w:type="gramStart"/>
      <w:r w:rsidRPr="00F01AF9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реках</w:t>
      </w:r>
      <w:proofErr w:type="gramEnd"/>
      <w:r w:rsidRPr="00F01AF9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 Чу и Талас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21 января 2000 года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Правительство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Республики и Правительство Республики Казахстан, именуемые в дальнейшем Сторонами,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руководствуясь</w:t>
      </w:r>
      <w:r w:rsidRPr="00F01AF9">
        <w:rPr>
          <w:rFonts w:ascii="Tahoma" w:eastAsia="Times New Roman" w:hAnsi="Tahoma" w:cs="Tahoma"/>
          <w:sz w:val="18"/>
          <w:lang w:eastAsia="ru-RU"/>
        </w:rPr>
        <w:t> </w:t>
      </w:r>
      <w:hyperlink r:id="rId4" w:tooltip="Ссылка на Договор о создании Единого экономического пространства между Казахстаном, Кыргызстаном и Узбекистаном" w:history="1">
        <w:r w:rsidRPr="00F01AF9">
          <w:rPr>
            <w:rFonts w:ascii="Tahoma" w:eastAsia="Times New Roman" w:hAnsi="Tahoma" w:cs="Tahoma"/>
            <w:sz w:val="18"/>
            <w:u w:val="single"/>
            <w:lang w:eastAsia="ru-RU"/>
          </w:rPr>
          <w:t>Договором</w:t>
        </w:r>
      </w:hyperlink>
      <w:r w:rsidRPr="00F01AF9">
        <w:rPr>
          <w:rFonts w:ascii="Tahoma" w:eastAsia="Times New Roman" w:hAnsi="Tahoma" w:cs="Tahoma"/>
          <w:sz w:val="18"/>
          <w:lang w:eastAsia="ru-RU"/>
        </w:rPr>
        <w:t> </w:t>
      </w:r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о создании единого экономического пространства между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Республикой, Республикой Казахстан и Республикой Узбекистан, подписанным в городе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Чолпон-Ата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30 апреля 1994 года;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признавая социальную, экономическую и экологическую ценность водных ресурсов;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придавая 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важное значение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взаимовыгодному сотрудничеству в использовании водных ресурсов и обеспечению надежности и безопасности эксплуатации водохозяйственных сооружений межгосударственного пользования;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имея общее желание найти наиболее совершенное и справедливое решение в эффективном использовании водохозяйственных сооружений в соответствии с общепризнанными нормами международного права в области водных ресурсов;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исходя из принципов добрососедства, равноправия, взаимопомощи;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согласились о нижеследующем: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Стороны признают, что использование водных ресурсов, эксплуатация и техническое обслуживание водохозяйственных сооружений межгосударственного пользования должны иметь целью достижение взаимной выгоды на справедливой и разумной основе.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Стороны относят к водохозяйственным сооружениям межгосударственного пользования нижеследующие водохозяйственные сооружения, находящиеся в собственности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Республики: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Орто-Токойское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водохранилище на 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реке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Чу;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обводные Чуйские железобетонные каналы на 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реке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Чу от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Быстровской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ГЭС до города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Токмок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Западный и Восточный Большие Чуйские каналы с сооружениями;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Чумышский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гидроузел на 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реке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Чу;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Кировское водохранилище на реке Талас.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Сторона-владелец, в собственности которой находятся водохозяйственные сооружения межгосударственного пользования, имеет право на компенсацию Стороной-пользователем этими сооружениями необходимых расходов, обеспечивающих их безопасную и надежную эксплуатацию.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4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Стороны принимают долевое участие в возмещении затрат на эксплуатацию, техническое обслуживание водохозяйственных сооружений межгосударственного пользования и другие согласованные действия пропорционально получаемому объему воды.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4" w:name="A000000005"/>
      <w:bookmarkEnd w:id="4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5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Для обеспечения безопасной и надежной работы водохозяйственных сооружений межгосударственного пользования Стороны создадут постоянно действующие комиссии, которые будут устанавливать режим работы и определять объемы необходимых затрат на их эксплуатацию и техническое обслуживание.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5" w:name="A000000006"/>
      <w:bookmarkEnd w:id="5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6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Стороны ежегодно предусматривают выделение необходимых сре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дств дл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я эксплуатации и технического обслуживания водохозяйственных сооружений межгосударственного пользования.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6" w:name="A000000007"/>
      <w:bookmarkEnd w:id="6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7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Стороны обязуются осуществлять совместные мероприятия по защите водохозяйственных сооружений межгосударственного пользования и территорий, находящихся в зоне их влияния, от неблагоприятного воздействия паводков, селей и других природных явлений.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7" w:name="A000000008"/>
      <w:bookmarkEnd w:id="7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8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В случае возникновения чрезвычайных ситуаций на водохозяйственных сооружениях межгосударственного пользования, вызванных неожиданными природными явлениями или техническими причинами, Стороны должны без промедления уведомить друг друга и принять совместные действия по их предотвращению, смягчению и устранению последствий.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8" w:name="A000000009"/>
      <w:bookmarkEnd w:id="8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9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В целях оперативного и эффективного выполнения ремонтно-восстановительных работ на водохозяйственных сооружениях межгосударственного пользования Стороны признают необходимость использования строительных, ремонтно-эксплуатационных и промышленных мощностей друг друга.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9" w:name="A000000010"/>
      <w:bookmarkEnd w:id="9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10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Стороны согласились совместно осуществлять научно-исследовательские и проектно-изыскательские работы по вопросам эффективного использования водных ресурсов и водохозяйственных сооружений.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0" w:name="A000000011"/>
      <w:bookmarkEnd w:id="10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11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Стороны создают условия для беспрепятственного и беспошлинного передвижения через границы и территории своих государств персонала, машин и механизмов, сырья, материалов, предназначенных для эксплуатации и технического обслуживания водохозяйственных сооружений межгосударственного пользования.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1" w:name="A000000012"/>
      <w:bookmarkEnd w:id="11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12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В случае возникновения споров или разногласий между Сторонами, связанных с толкованием или применением настоящего Соглашения, Стороны будут решать их путем переговоров и консультаций.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2" w:name="A000000013"/>
      <w:bookmarkEnd w:id="12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13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 согласия Сторон в настоящее Соглашение могут быть внесены изменения и дополнения, которые оформляются отдельными протоколами и являются его неотъемлемой частью.</w:t>
      </w:r>
    </w:p>
    <w:p w:rsidR="00F01AF9" w:rsidRPr="00F01AF9" w:rsidRDefault="00F01AF9" w:rsidP="00F01AF9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3" w:name="A000000014"/>
      <w:bookmarkEnd w:id="13"/>
      <w:r w:rsidRPr="00F01AF9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14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Настоящее Соглашение вступает в силу 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 даты получения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 последнего письменного уведомления о выполнении Сторонами внутригосударственных процедур, предусмотренных их национальным законодательством.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Настоящее Соглашение заключается на 5 лет и будет автоматически продлеваться на следующие пятилетние сроки, если ни одна из Сторон за шесть месяцев до истечения соответствующего срока письменно не уведомит другую Сторону о своем намерении прекратить его действие.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Совершено в г</w:t>
      </w:r>
      <w:proofErr w:type="gram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.А</w:t>
      </w:r>
      <w:proofErr w:type="gram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 xml:space="preserve">стана, 21 января 2000 года в двух подлинных экземплярах, каждый на </w:t>
      </w:r>
      <w:proofErr w:type="spellStart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кыргызском</w:t>
      </w:r>
      <w:proofErr w:type="spellEnd"/>
      <w:r w:rsidRPr="00F01AF9">
        <w:rPr>
          <w:rFonts w:ascii="Tahoma" w:eastAsia="Times New Roman" w:hAnsi="Tahoma" w:cs="Tahoma"/>
          <w:sz w:val="18"/>
          <w:szCs w:val="18"/>
          <w:lang w:eastAsia="ru-RU"/>
        </w:rPr>
        <w:t>, казахском и русском языках, при этом все тексты имеют одинаковую силу.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В случае возникновения разногласий в толковании положений настоящего Соглашения, Стороны будут руководствоваться текстом на русском языке.</w:t>
      </w:r>
    </w:p>
    <w:p w:rsidR="00F01AF9" w:rsidRPr="00F01AF9" w:rsidRDefault="00F01AF9" w:rsidP="00F01AF9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01AF9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1794" w:type="dxa"/>
        <w:tblInd w:w="4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7"/>
        <w:gridCol w:w="5897"/>
      </w:tblGrid>
      <w:tr w:rsidR="00F01AF9" w:rsidRPr="00F01AF9" w:rsidTr="00F01AF9"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137" w:type="dxa"/>
              <w:right w:w="137" w:type="dxa"/>
            </w:tcMar>
            <w:hideMark/>
          </w:tcPr>
          <w:p w:rsidR="00F01AF9" w:rsidRPr="00F01AF9" w:rsidRDefault="00F01AF9" w:rsidP="00F01AF9">
            <w:pPr>
              <w:spacing w:after="0" w:line="247" w:lineRule="atLeast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F01AF9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За Правительство </w:t>
            </w:r>
            <w:proofErr w:type="spellStart"/>
            <w:r w:rsidRPr="00F01AF9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Кыргызской</w:t>
            </w:r>
            <w:proofErr w:type="spellEnd"/>
            <w:r w:rsidRPr="00F01AF9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Республики 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137" w:type="dxa"/>
              <w:right w:w="137" w:type="dxa"/>
            </w:tcMar>
            <w:hideMark/>
          </w:tcPr>
          <w:p w:rsidR="00F01AF9" w:rsidRPr="00F01AF9" w:rsidRDefault="00F01AF9" w:rsidP="00F01AF9">
            <w:pPr>
              <w:spacing w:after="0" w:line="247" w:lineRule="atLeast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F01AF9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За Правительство Республики Казахстан</w:t>
            </w:r>
          </w:p>
        </w:tc>
      </w:tr>
    </w:tbl>
    <w:p w:rsidR="006723B5" w:rsidRPr="00F01AF9" w:rsidRDefault="006723B5"/>
    <w:sectPr w:rsidR="006723B5" w:rsidRPr="00F01AF9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01AF9"/>
    <w:rsid w:val="006723B5"/>
    <w:rsid w:val="00F0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F01A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01A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AF9"/>
  </w:style>
  <w:style w:type="character" w:styleId="a4">
    <w:name w:val="Hyperlink"/>
    <w:basedOn w:val="a0"/>
    <w:uiPriority w:val="99"/>
    <w:semiHidden/>
    <w:unhideWhenUsed/>
    <w:rsid w:val="00F01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spinform.ru/show_doc.fwx?rgn=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2015-07-15T11:48:00Z</dcterms:created>
  <dcterms:modified xsi:type="dcterms:W3CDTF">2015-07-15T11:49:00Z</dcterms:modified>
</cp:coreProperties>
</file>